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ayout w:type="fixed"/>
        <w:tblLook w:val="06A0" w:firstRow="1" w:lastRow="0" w:firstColumn="1" w:lastColumn="0" w:noHBand="1" w:noVBand="1"/>
      </w:tblPr>
      <w:tblGrid>
        <w:gridCol w:w="2685"/>
        <w:gridCol w:w="6390"/>
      </w:tblGrid>
      <w:tr w:rsidR="00CC5469" w:rsidRPr="00835437" w14:paraId="50B23129" w14:textId="77777777" w:rsidTr="00567144">
        <w:trPr>
          <w:trHeight w:val="300"/>
        </w:trPr>
        <w:tc>
          <w:tcPr>
            <w:tcW w:w="2685" w:type="dxa"/>
            <w:shd w:val="clear" w:color="auto" w:fill="B4C6E7" w:themeFill="accent1" w:themeFillTint="66"/>
            <w:tcMar>
              <w:left w:w="105" w:type="dxa"/>
              <w:right w:w="105" w:type="dxa"/>
            </w:tcMar>
          </w:tcPr>
          <w:p w14:paraId="4E91B5D0" w14:textId="77777777" w:rsidR="00CC5469" w:rsidRPr="00835437" w:rsidRDefault="00CC5469" w:rsidP="00567144">
            <w:pPr>
              <w:spacing w:line="360" w:lineRule="auto"/>
            </w:pPr>
            <w:r w:rsidRPr="00835437">
              <w:t>Type tjeneste</w:t>
            </w:r>
          </w:p>
        </w:tc>
        <w:tc>
          <w:tcPr>
            <w:tcW w:w="6390" w:type="dxa"/>
            <w:shd w:val="clear" w:color="auto" w:fill="B4C6E7" w:themeFill="accent1" w:themeFillTint="66"/>
            <w:tcMar>
              <w:left w:w="105" w:type="dxa"/>
              <w:right w:w="105" w:type="dxa"/>
            </w:tcMar>
          </w:tcPr>
          <w:p w14:paraId="46F8C534" w14:textId="77777777" w:rsidR="00CC5469" w:rsidRPr="00835437" w:rsidRDefault="00CC5469" w:rsidP="00567144">
            <w:pPr>
              <w:spacing w:line="360" w:lineRule="auto"/>
            </w:pPr>
            <w:r w:rsidRPr="00835437">
              <w:t>Brukerstyrt personlig assistanse – BPA</w:t>
            </w:r>
          </w:p>
        </w:tc>
      </w:tr>
      <w:tr w:rsidR="00CC5469" w:rsidRPr="00835437" w14:paraId="679443E2" w14:textId="77777777" w:rsidTr="00567144">
        <w:trPr>
          <w:trHeight w:val="300"/>
        </w:trPr>
        <w:tc>
          <w:tcPr>
            <w:tcW w:w="2685" w:type="dxa"/>
            <w:shd w:val="clear" w:color="auto" w:fill="B4C6E7" w:themeFill="accent1" w:themeFillTint="66"/>
            <w:tcMar>
              <w:left w:w="105" w:type="dxa"/>
              <w:right w:w="105" w:type="dxa"/>
            </w:tcMar>
          </w:tcPr>
          <w:p w14:paraId="5F14C07E" w14:textId="77777777" w:rsidR="00CC5469" w:rsidRPr="00835437" w:rsidRDefault="00CC5469" w:rsidP="00567144">
            <w:pPr>
              <w:spacing w:line="360" w:lineRule="auto"/>
            </w:pPr>
            <w:r w:rsidRPr="00835437">
              <w:t>Lovgrunnlag</w:t>
            </w:r>
          </w:p>
        </w:tc>
        <w:tc>
          <w:tcPr>
            <w:tcW w:w="6390" w:type="dxa"/>
            <w:tcMar>
              <w:left w:w="105" w:type="dxa"/>
              <w:right w:w="105" w:type="dxa"/>
            </w:tcMar>
          </w:tcPr>
          <w:p w14:paraId="3A29905E" w14:textId="77777777" w:rsidR="00CC5469" w:rsidRPr="00835437" w:rsidRDefault="00CC5469" w:rsidP="00567144">
            <w:pPr>
              <w:spacing w:line="276" w:lineRule="auto"/>
            </w:pPr>
            <w:r w:rsidRPr="00835437">
              <w:t xml:space="preserve">Pasient- og brukerrettighetsloven § 2-1 a andre ledd og Helse og omsorgstjenesteloven </w:t>
            </w:r>
            <w:hyperlink r:id="rId7">
              <w:r w:rsidRPr="00835437">
                <w:rPr>
                  <w:rStyle w:val="Hyperkobling"/>
                </w:rPr>
                <w:t>§</w:t>
              </w:r>
            </w:hyperlink>
            <w:r w:rsidRPr="00835437">
              <w:t xml:space="preserve"> 3-2 første ledd nr. 6 bokstav b og c og 3-8 samt Rundskriv om rettighetsfesting av BPA.</w:t>
            </w:r>
          </w:p>
        </w:tc>
      </w:tr>
      <w:tr w:rsidR="00CC5469" w:rsidRPr="00835437" w14:paraId="73176E15" w14:textId="77777777" w:rsidTr="00567144">
        <w:trPr>
          <w:trHeight w:val="300"/>
        </w:trPr>
        <w:tc>
          <w:tcPr>
            <w:tcW w:w="2685" w:type="dxa"/>
            <w:shd w:val="clear" w:color="auto" w:fill="B4C6E7" w:themeFill="accent1" w:themeFillTint="66"/>
            <w:tcMar>
              <w:left w:w="105" w:type="dxa"/>
              <w:right w:w="105" w:type="dxa"/>
            </w:tcMar>
          </w:tcPr>
          <w:p w14:paraId="3DFD17DC" w14:textId="77777777" w:rsidR="00CC5469" w:rsidRPr="00835437" w:rsidRDefault="00CC5469" w:rsidP="00567144">
            <w:pPr>
              <w:spacing w:line="360" w:lineRule="auto"/>
            </w:pPr>
            <w:r w:rsidRPr="00835437">
              <w:t>Klageadgang</w:t>
            </w:r>
          </w:p>
        </w:tc>
        <w:tc>
          <w:tcPr>
            <w:tcW w:w="6390" w:type="dxa"/>
            <w:tcMar>
              <w:left w:w="105" w:type="dxa"/>
              <w:right w:w="105" w:type="dxa"/>
            </w:tcMar>
          </w:tcPr>
          <w:p w14:paraId="318915D6" w14:textId="77777777" w:rsidR="00CC5469" w:rsidRPr="00835437" w:rsidRDefault="00CC5469" w:rsidP="00567144">
            <w:pPr>
              <w:spacing w:line="276" w:lineRule="auto"/>
            </w:pPr>
            <w:r w:rsidRPr="00835437">
              <w:t>Ja, jfr. Pasient- og brukerrettighetsloven § 7-2</w:t>
            </w:r>
          </w:p>
        </w:tc>
      </w:tr>
      <w:tr w:rsidR="00CC5469" w:rsidRPr="00835437" w14:paraId="17F5BFDC" w14:textId="77777777" w:rsidTr="00567144">
        <w:trPr>
          <w:trHeight w:val="300"/>
        </w:trPr>
        <w:tc>
          <w:tcPr>
            <w:tcW w:w="2685" w:type="dxa"/>
            <w:shd w:val="clear" w:color="auto" w:fill="B4C6E7" w:themeFill="accent1" w:themeFillTint="66"/>
            <w:tcMar>
              <w:left w:w="105" w:type="dxa"/>
              <w:right w:w="105" w:type="dxa"/>
            </w:tcMar>
          </w:tcPr>
          <w:p w14:paraId="64E7166F" w14:textId="77777777" w:rsidR="00CC5469" w:rsidRPr="00835437" w:rsidRDefault="00CC5469" w:rsidP="00567144">
            <w:pPr>
              <w:spacing w:line="360" w:lineRule="auto"/>
            </w:pPr>
            <w:r w:rsidRPr="00835437">
              <w:t>Egenbetaling</w:t>
            </w:r>
          </w:p>
        </w:tc>
        <w:tc>
          <w:tcPr>
            <w:tcW w:w="6390" w:type="dxa"/>
            <w:tcMar>
              <w:left w:w="105" w:type="dxa"/>
              <w:right w:w="105" w:type="dxa"/>
            </w:tcMar>
          </w:tcPr>
          <w:p w14:paraId="10549571" w14:textId="77777777" w:rsidR="00CC5469" w:rsidRPr="00835437" w:rsidRDefault="00CC5469" w:rsidP="00567144">
            <w:pPr>
              <w:spacing w:line="276" w:lineRule="auto"/>
            </w:pPr>
            <w:r w:rsidRPr="00835437">
              <w:t>Nei, med mindre det innvilges tid til praktisk bistand. Arbeidsleder rollen lønnes ikke.</w:t>
            </w:r>
          </w:p>
        </w:tc>
      </w:tr>
      <w:tr w:rsidR="00CC5469" w:rsidRPr="00835437" w14:paraId="29652B4E" w14:textId="77777777" w:rsidTr="00567144">
        <w:trPr>
          <w:trHeight w:val="300"/>
        </w:trPr>
        <w:tc>
          <w:tcPr>
            <w:tcW w:w="2685" w:type="dxa"/>
            <w:shd w:val="clear" w:color="auto" w:fill="B4C6E7" w:themeFill="accent1" w:themeFillTint="66"/>
            <w:tcMar>
              <w:left w:w="105" w:type="dxa"/>
              <w:right w:w="105" w:type="dxa"/>
            </w:tcMar>
          </w:tcPr>
          <w:p w14:paraId="49CE0A0D" w14:textId="77777777" w:rsidR="00CC5469" w:rsidRPr="00835437" w:rsidRDefault="00CC5469" w:rsidP="00567144">
            <w:pPr>
              <w:spacing w:line="360" w:lineRule="auto"/>
            </w:pPr>
            <w:r w:rsidRPr="00835437">
              <w:t>Formål med tjenesten</w:t>
            </w:r>
          </w:p>
        </w:tc>
        <w:tc>
          <w:tcPr>
            <w:tcW w:w="6390" w:type="dxa"/>
            <w:tcMar>
              <w:left w:w="105" w:type="dxa"/>
              <w:right w:w="105" w:type="dxa"/>
            </w:tcMar>
          </w:tcPr>
          <w:p w14:paraId="0064783B" w14:textId="77777777" w:rsidR="00CC5469" w:rsidRPr="00835437" w:rsidRDefault="00CC5469" w:rsidP="00567144">
            <w:pPr>
              <w:spacing w:line="276" w:lineRule="auto"/>
            </w:pPr>
            <w:r w:rsidRPr="00835437">
              <w:t xml:space="preserve">Å bidra til at personer med bistandsbehov får et aktivt og mest mulig uavhengig liv til tross for funksjonsnedsettelse. Brukerstyringen som ligger i arbeidslederrollen, er et virkemiddel for å legge til rette for større fleksibilitet og en selvstendig tilværelse.  </w:t>
            </w:r>
          </w:p>
        </w:tc>
      </w:tr>
      <w:tr w:rsidR="00CC5469" w:rsidRPr="00835437" w14:paraId="4E02F008" w14:textId="77777777" w:rsidTr="00567144">
        <w:trPr>
          <w:trHeight w:val="300"/>
        </w:trPr>
        <w:tc>
          <w:tcPr>
            <w:tcW w:w="2685" w:type="dxa"/>
            <w:shd w:val="clear" w:color="auto" w:fill="B4C6E7" w:themeFill="accent1" w:themeFillTint="66"/>
            <w:tcMar>
              <w:left w:w="105" w:type="dxa"/>
              <w:right w:w="105" w:type="dxa"/>
            </w:tcMar>
          </w:tcPr>
          <w:p w14:paraId="293B07D6" w14:textId="77777777" w:rsidR="00CC5469" w:rsidRPr="00835437" w:rsidRDefault="00CC5469" w:rsidP="00567144">
            <w:pPr>
              <w:spacing w:line="360" w:lineRule="auto"/>
            </w:pPr>
            <w:r w:rsidRPr="00835437">
              <w:t>Beskrivelse av tjenesten</w:t>
            </w:r>
          </w:p>
        </w:tc>
        <w:tc>
          <w:tcPr>
            <w:tcW w:w="6390" w:type="dxa"/>
            <w:tcMar>
              <w:left w:w="105" w:type="dxa"/>
              <w:right w:w="105" w:type="dxa"/>
            </w:tcMar>
          </w:tcPr>
          <w:p w14:paraId="58A85CF4" w14:textId="77777777" w:rsidR="00CC5469" w:rsidRPr="00835437" w:rsidRDefault="00CC5469" w:rsidP="00567144">
            <w:pPr>
              <w:spacing w:line="276" w:lineRule="auto"/>
            </w:pPr>
            <w:r w:rsidRPr="00835437">
              <w:t>BPA er en alternativ måte å organisere tjenesten personlig assistanse på. BPA innebærer at brukeren har rollen som arbeidsleder og påtar seg ansvar for organisering og innhold ut fra egne behov. Innen de timerammer som kommunens vedtak angir, kan brukeren styre hva assistentene skal gjøre, og til hvilke tider assistanse skal gis.</w:t>
            </w:r>
          </w:p>
        </w:tc>
      </w:tr>
      <w:tr w:rsidR="00CC5469" w:rsidRPr="00835437" w14:paraId="03D35926" w14:textId="77777777" w:rsidTr="00567144">
        <w:trPr>
          <w:trHeight w:val="300"/>
        </w:trPr>
        <w:tc>
          <w:tcPr>
            <w:tcW w:w="2685" w:type="dxa"/>
            <w:shd w:val="clear" w:color="auto" w:fill="B4C6E7" w:themeFill="accent1" w:themeFillTint="66"/>
            <w:tcMar>
              <w:left w:w="105" w:type="dxa"/>
              <w:right w:w="105" w:type="dxa"/>
            </w:tcMar>
          </w:tcPr>
          <w:p w14:paraId="61BF3241" w14:textId="77777777" w:rsidR="00CC5469" w:rsidRPr="00835437" w:rsidRDefault="00CC5469" w:rsidP="00567144">
            <w:pPr>
              <w:spacing w:line="360" w:lineRule="auto"/>
            </w:pPr>
            <w:r w:rsidRPr="00835437">
              <w:t>Målgruppe</w:t>
            </w:r>
          </w:p>
        </w:tc>
        <w:tc>
          <w:tcPr>
            <w:tcW w:w="6390" w:type="dxa"/>
            <w:tcMar>
              <w:left w:w="105" w:type="dxa"/>
              <w:right w:w="105" w:type="dxa"/>
            </w:tcMar>
          </w:tcPr>
          <w:p w14:paraId="7EF7CF29" w14:textId="77777777" w:rsidR="00CC5469" w:rsidRPr="00835437" w:rsidRDefault="00CC5469" w:rsidP="00567144">
            <w:pPr>
              <w:spacing w:line="276" w:lineRule="auto"/>
            </w:pPr>
            <w:r w:rsidRPr="00835437">
              <w:t>Personer med stort og langvarig behov for personlig assistanse, personer med behov for avlastning ved omsorg for hjemmeboende barn under 18 år, og andre som kan nyttiggjøre seg denne organisasjonsformen. Ordningen er først og fremst beregnet for personer med omfattende bistandsbehov i dagliglivet, både i og utenfor hjemmet.</w:t>
            </w:r>
          </w:p>
        </w:tc>
      </w:tr>
      <w:tr w:rsidR="00CC5469" w:rsidRPr="00835437" w14:paraId="62732750" w14:textId="77777777" w:rsidTr="00567144">
        <w:trPr>
          <w:trHeight w:val="300"/>
        </w:trPr>
        <w:tc>
          <w:tcPr>
            <w:tcW w:w="2685" w:type="dxa"/>
            <w:shd w:val="clear" w:color="auto" w:fill="B4C6E7" w:themeFill="accent1" w:themeFillTint="66"/>
            <w:tcMar>
              <w:left w:w="105" w:type="dxa"/>
              <w:right w:w="105" w:type="dxa"/>
            </w:tcMar>
          </w:tcPr>
          <w:p w14:paraId="5E0FC704" w14:textId="77777777" w:rsidR="00CC5469" w:rsidRPr="00835437" w:rsidRDefault="00CC5469" w:rsidP="00567144">
            <w:pPr>
              <w:spacing w:line="360" w:lineRule="auto"/>
            </w:pPr>
            <w:r w:rsidRPr="00835437">
              <w:t>Kriterier og vurderinger</w:t>
            </w:r>
          </w:p>
        </w:tc>
        <w:tc>
          <w:tcPr>
            <w:tcW w:w="6390" w:type="dxa"/>
            <w:tcMar>
              <w:left w:w="105" w:type="dxa"/>
              <w:right w:w="105" w:type="dxa"/>
            </w:tcMar>
          </w:tcPr>
          <w:p w14:paraId="1E52D7D8" w14:textId="77777777" w:rsidR="00CC5469" w:rsidRPr="00835437" w:rsidRDefault="00CC5469" w:rsidP="00567144">
            <w:pPr>
              <w:spacing w:line="276" w:lineRule="auto"/>
            </w:pPr>
            <w:r w:rsidRPr="00835437">
              <w:t>Det er i utgangspunktet en forutsetning at brukeren både ønsker å påta seg det ansvaret arbeidslederrollen innebærer, og at vedkommende har forutsetninger for å ivareta denne rollen på en forsvarlig måte. Dersom bruker ikke kan være arbeidsleder selv pga. f.eks. ung alder eller nedsatt kognitiv funksjon, kan arbeidslederrollen ivaretas av noen som kjenner bruker godt.</w:t>
            </w:r>
          </w:p>
          <w:p w14:paraId="6B2F48D1" w14:textId="77777777" w:rsidR="00CC5469" w:rsidRPr="00835437" w:rsidRDefault="00CC5469" w:rsidP="00567144">
            <w:pPr>
              <w:spacing w:line="276" w:lineRule="auto"/>
            </w:pPr>
          </w:p>
          <w:p w14:paraId="1009617B" w14:textId="77777777" w:rsidR="00CC5469" w:rsidRPr="00835437" w:rsidRDefault="00CC5469" w:rsidP="00567144">
            <w:pPr>
              <w:spacing w:line="276" w:lineRule="auto"/>
            </w:pPr>
            <w:r w:rsidRPr="00835437">
              <w:t xml:space="preserve">Rettigheten til å motta tjenester gjennom BPA ordningen, gjelder personer under 67 år, som har langvarig (over 2 </w:t>
            </w:r>
            <w:r w:rsidRPr="00835437">
              <w:lastRenderedPageBreak/>
              <w:t>år) behov for personlig assistanse, og avlastning for barn i minst 32 timer pr uke. Rettigheten gjelder også dersom tjenestebehovet er over 25 timer pr uke, dersom det ikke medfører vesentlig økt kostnad for kommunen å organisere tjenestene som en BPA-ordning.</w:t>
            </w:r>
          </w:p>
          <w:p w14:paraId="52ED605B" w14:textId="77777777" w:rsidR="00CC5469" w:rsidRPr="00835437" w:rsidRDefault="00CC5469" w:rsidP="00567144">
            <w:pPr>
              <w:spacing w:line="276" w:lineRule="auto"/>
            </w:pPr>
          </w:p>
          <w:p w14:paraId="7796777E" w14:textId="77777777" w:rsidR="00CC5469" w:rsidRPr="00835437" w:rsidRDefault="00CC5469" w:rsidP="00567144">
            <w:pPr>
              <w:spacing w:line="276" w:lineRule="auto"/>
            </w:pPr>
            <w:r w:rsidRPr="00835437">
              <w:t xml:space="preserve">Ved vurdering av hvem som skal få BPA, skal det legges stor vekt på den enkelte persons bistandsbehov, og om BPA kan bidra til et mer aktivt og uavhengig liv. BPA kan videre gis til personer med særlig stort behov for stabilitet og forutsigbarhet. Hver enkelt person må vurderes konkret ut fra aktuell situasjon og individuelle behov. Vurderingen gjøres ut fra </w:t>
            </w:r>
            <w:hyperlink r:id="rId8">
              <w:r w:rsidRPr="00835437">
                <w:rPr>
                  <w:rStyle w:val="Hyperkobling"/>
                </w:rPr>
                <w:t>Rettighetsfesting av brukerstyrt personlig assistanse (BPA) 2015</w:t>
              </w:r>
            </w:hyperlink>
          </w:p>
        </w:tc>
      </w:tr>
    </w:tbl>
    <w:p w14:paraId="6A7235F9" w14:textId="77777777" w:rsidR="004B0D65" w:rsidRDefault="004B0D65"/>
    <w:sectPr w:rsidR="004B0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69"/>
    <w:rsid w:val="004B0D65"/>
    <w:rsid w:val="00CC5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4D5A"/>
  <w15:chartTrackingRefBased/>
  <w15:docId w15:val="{E73687BC-8F83-49CE-B832-77FEE1AF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469"/>
    <w:pPr>
      <w:spacing w:after="200"/>
    </w:pPr>
    <w:rPr>
      <w:rFonts w:ascii="Arial" w:eastAsia="Times" w:hAnsi="Arial" w:cs="Times New Roman"/>
      <w:kern w:val="0"/>
      <w:sz w:val="24"/>
      <w:szCs w:val="20"/>
      <w:lang w:bidi="th-TH"/>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C5469"/>
    <w:pPr>
      <w:spacing w:after="0" w:line="240" w:lineRule="auto"/>
    </w:pPr>
    <w:rPr>
      <w:rFonts w:ascii="Times" w:eastAsia="Times" w:hAnsi="Times" w:cs="Times New Roman"/>
      <w:kern w:val="0"/>
      <w:sz w:val="20"/>
      <w:szCs w:val="20"/>
      <w:lang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CC5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bd58818a87cc4a109a6d29b4d0dc615a/rundskriv_i-9-2015_bpa.pdf" TargetMode="External"/><Relationship Id="rId3" Type="http://schemas.openxmlformats.org/officeDocument/2006/relationships/customXml" Target="../customXml/item3.xml"/><Relationship Id="rId7" Type="http://schemas.openxmlformats.org/officeDocument/2006/relationships/hyperlink" Target="https://lovdata.no/dokument/NL/lov/2011-06-24-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9E6984282D54083945F949CED0971" ma:contentTypeVersion="17" ma:contentTypeDescription="Create a new document." ma:contentTypeScope="" ma:versionID="fb28692fc4933b6af2ec7c72f826ad98">
  <xsd:schema xmlns:xsd="http://www.w3.org/2001/XMLSchema" xmlns:xs="http://www.w3.org/2001/XMLSchema" xmlns:p="http://schemas.microsoft.com/office/2006/metadata/properties" xmlns:ns3="4cb30b31-6459-4a47-b889-a984fdc1be7e" xmlns:ns4="341c6c0b-cf78-46c2-9451-6cf8e0c3ff02" targetNamespace="http://schemas.microsoft.com/office/2006/metadata/properties" ma:root="true" ma:fieldsID="1b383433db867c040b616f0d380deb2b" ns3:_="" ns4:_="">
    <xsd:import namespace="4cb30b31-6459-4a47-b889-a984fdc1be7e"/>
    <xsd:import namespace="341c6c0b-cf78-46c2-9451-6cf8e0c3ff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30b31-6459-4a47-b889-a984fdc1b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c6c0b-cf78-46c2-9451-6cf8e0c3ff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cb30b31-6459-4a47-b889-a984fdc1be7e" xsi:nil="true"/>
  </documentManagement>
</p:properties>
</file>

<file path=customXml/itemProps1.xml><?xml version="1.0" encoding="utf-8"?>
<ds:datastoreItem xmlns:ds="http://schemas.openxmlformats.org/officeDocument/2006/customXml" ds:itemID="{C2D1FE44-DDF3-4704-8BB1-86EC49AF7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30b31-6459-4a47-b889-a984fdc1be7e"/>
    <ds:schemaRef ds:uri="341c6c0b-cf78-46c2-9451-6cf8e0c3f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D3E17-9848-4D95-BFE3-C33735F4EDB9}">
  <ds:schemaRefs>
    <ds:schemaRef ds:uri="http://schemas.microsoft.com/sharepoint/v3/contenttype/forms"/>
  </ds:schemaRefs>
</ds:datastoreItem>
</file>

<file path=customXml/itemProps3.xml><?xml version="1.0" encoding="utf-8"?>
<ds:datastoreItem xmlns:ds="http://schemas.openxmlformats.org/officeDocument/2006/customXml" ds:itemID="{CCC7BC38-BC4C-43EC-A387-04E52D85D2C7}">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341c6c0b-cf78-46c2-9451-6cf8e0c3ff02"/>
    <ds:schemaRef ds:uri="4cb30b31-6459-4a47-b889-a984fdc1be7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2337</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Gølin Tveit</dc:creator>
  <cp:keywords/>
  <dc:description/>
  <cp:lastModifiedBy>Gølin Tveit</cp:lastModifiedBy>
  <cp:revision>1</cp:revision>
  <dcterms:created xsi:type="dcterms:W3CDTF">2023-11-09T11:24:00Z</dcterms:created>
  <dcterms:modified xsi:type="dcterms:W3CDTF">2023-11-09T11:25:00Z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0x01010080D9E6984282D54083945F949CED0971</vt:lpwstr>
  </property>
</Properties>
</file>