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6390"/>
      </w:tblGrid>
      <w:tr w:rsidR="000F4B73" w:rsidRPr="00835437" w14:paraId="1660B005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FD8B127" w14:textId="77777777" w:rsidR="000F4B73" w:rsidRPr="00835437" w:rsidRDefault="000F4B73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9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7111BB4" w14:textId="77777777" w:rsidR="000F4B73" w:rsidRPr="00835437" w:rsidRDefault="000F4B73" w:rsidP="00567144">
            <w:pPr>
              <w:spacing w:line="360" w:lineRule="auto"/>
            </w:pPr>
            <w:r w:rsidRPr="00835437">
              <w:t>Korttidsopphold – annet</w:t>
            </w:r>
          </w:p>
        </w:tc>
      </w:tr>
      <w:tr w:rsidR="000F4B73" w:rsidRPr="00835437" w14:paraId="1E492410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64D6B50" w14:textId="77777777" w:rsidR="000F4B73" w:rsidRPr="00835437" w:rsidRDefault="000F4B73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331A9815" w14:textId="77777777" w:rsidR="000F4B73" w:rsidRPr="00835437" w:rsidRDefault="000F4B73" w:rsidP="00567144">
            <w:pPr>
              <w:spacing w:line="276" w:lineRule="auto"/>
            </w:pPr>
            <w:r w:rsidRPr="00835437">
              <w:t>Pasient- og brukerrettighetsloven § 2-1 a andre ledd og Helse og omsorgstjenesteloven § 3-2 første ledd nr. 6 bokstav c.</w:t>
            </w:r>
          </w:p>
        </w:tc>
      </w:tr>
      <w:tr w:rsidR="000F4B73" w:rsidRPr="00835437" w14:paraId="22A3EC94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6F949C2" w14:textId="77777777" w:rsidR="000F4B73" w:rsidRPr="00835437" w:rsidRDefault="000F4B73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548F9069" w14:textId="77777777" w:rsidR="000F4B73" w:rsidRPr="00835437" w:rsidRDefault="000F4B73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0F4B73" w:rsidRPr="00835437" w14:paraId="0FFD2B5E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5B7BAD8" w14:textId="77777777" w:rsidR="000F4B73" w:rsidRPr="00835437" w:rsidRDefault="000F4B73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7487921C" w14:textId="77777777" w:rsidR="000F4B73" w:rsidRPr="00835437" w:rsidRDefault="000F4B73" w:rsidP="00567144">
            <w:pPr>
              <w:spacing w:line="276" w:lineRule="auto"/>
            </w:pPr>
            <w:r w:rsidRPr="00835437">
              <w:t>Ja</w:t>
            </w:r>
          </w:p>
        </w:tc>
      </w:tr>
      <w:tr w:rsidR="000F4B73" w:rsidRPr="00835437" w14:paraId="53BF4B99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E757DE6" w14:textId="77777777" w:rsidR="000F4B73" w:rsidRPr="00835437" w:rsidRDefault="000F4B73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7C6BEF11" w14:textId="77777777" w:rsidR="000F4B73" w:rsidRPr="00835437" w:rsidRDefault="000F4B73" w:rsidP="00567144">
            <w:pPr>
              <w:spacing w:line="276" w:lineRule="auto"/>
            </w:pPr>
            <w:r w:rsidRPr="00835437">
              <w:t>Tidsbegrenset opphold i institusjon er tjenester til personer som for en kortere periode har omfattende behov for helse- og omsorgstjenester eller for utredning og vurdering.</w:t>
            </w:r>
          </w:p>
        </w:tc>
      </w:tr>
      <w:tr w:rsidR="000F4B73" w:rsidRPr="00835437" w14:paraId="11FFE342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CC40020" w14:textId="77777777" w:rsidR="000F4B73" w:rsidRPr="00835437" w:rsidRDefault="000F4B73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3645B9C5" w14:textId="77777777" w:rsidR="000F4B73" w:rsidRPr="00835437" w:rsidRDefault="000F4B73" w:rsidP="00567144">
            <w:pPr>
              <w:spacing w:line="276" w:lineRule="auto"/>
            </w:pPr>
            <w:r w:rsidRPr="00835437">
              <w:t xml:space="preserve">Tidsbegrenset opphold i institusjon med heldøgns helse- og omsorgstjenester med særskilt tilrettelagte helsetjenester kan gjelde:  </w:t>
            </w:r>
          </w:p>
          <w:p w14:paraId="2BF49502" w14:textId="77777777" w:rsidR="000F4B73" w:rsidRPr="00835437" w:rsidRDefault="000F4B73" w:rsidP="00567144">
            <w:pPr>
              <w:spacing w:line="276" w:lineRule="auto"/>
            </w:pPr>
            <w:r w:rsidRPr="00835437">
              <w:t>Behandling og utredning.</w:t>
            </w:r>
          </w:p>
          <w:p w14:paraId="61052A6B" w14:textId="77777777" w:rsidR="000F4B73" w:rsidRPr="00835437" w:rsidRDefault="000F4B73" w:rsidP="00567144">
            <w:pPr>
              <w:spacing w:line="276" w:lineRule="auto"/>
            </w:pPr>
            <w:r w:rsidRPr="00835437">
              <w:t>Tilbud om lindrende behandling ved livets slutt.</w:t>
            </w:r>
          </w:p>
          <w:p w14:paraId="1E3929A8" w14:textId="77777777" w:rsidR="000F4B73" w:rsidRPr="00835437" w:rsidRDefault="000F4B73" w:rsidP="00567144">
            <w:pPr>
              <w:spacing w:line="276" w:lineRule="auto"/>
            </w:pPr>
            <w:r w:rsidRPr="00835437">
              <w:t xml:space="preserve">Annet  </w:t>
            </w:r>
          </w:p>
        </w:tc>
      </w:tr>
      <w:tr w:rsidR="000F4B73" w:rsidRPr="00835437" w14:paraId="51FF0643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0BE0A8F" w14:textId="77777777" w:rsidR="000F4B73" w:rsidRPr="00835437" w:rsidRDefault="000F4B73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35A7D08A" w14:textId="77777777" w:rsidR="000F4B73" w:rsidRPr="00835437" w:rsidRDefault="000F4B73" w:rsidP="00567144">
            <w:pPr>
              <w:spacing w:line="276" w:lineRule="auto"/>
            </w:pPr>
            <w:r w:rsidRPr="00835437">
              <w:t xml:space="preserve">Korttidsopphold i institusjon kan være et tilbud til:  </w:t>
            </w:r>
          </w:p>
          <w:p w14:paraId="01F807A4" w14:textId="77777777" w:rsidR="000F4B73" w:rsidRPr="00835437" w:rsidRDefault="000F4B73" w:rsidP="00567144">
            <w:pPr>
              <w:spacing w:line="276" w:lineRule="auto"/>
            </w:pPr>
            <w:r w:rsidRPr="00835437">
              <w:t>Personer som i en overgangsperiode trenger medisinsk behandling, omsorg ved sykdom, utredning og observasjon.</w:t>
            </w:r>
          </w:p>
          <w:p w14:paraId="2349D953" w14:textId="77777777" w:rsidR="000F4B73" w:rsidRPr="00835437" w:rsidRDefault="000F4B73" w:rsidP="00567144">
            <w:pPr>
              <w:spacing w:line="276" w:lineRule="auto"/>
            </w:pPr>
            <w:r w:rsidRPr="00835437">
              <w:t xml:space="preserve">Personer med behov for lindrende behandling ved livets slutt der det ikke er hensiktsmessig eller ønskelig å ivareta dette i eget hjem </w:t>
            </w:r>
          </w:p>
          <w:p w14:paraId="63230837" w14:textId="77777777" w:rsidR="000F4B73" w:rsidRPr="00835437" w:rsidRDefault="000F4B73" w:rsidP="00567144">
            <w:pPr>
              <w:spacing w:line="276" w:lineRule="auto"/>
            </w:pPr>
            <w:r w:rsidRPr="00835437">
              <w:t xml:space="preserve">Personer som har andre omfattende behov for helse – og omsorgstjenester og der heldøgns tidsbegrenset opphold i institusjon vil være best egnet.  </w:t>
            </w:r>
          </w:p>
        </w:tc>
      </w:tr>
      <w:tr w:rsidR="000F4B73" w:rsidRPr="00835437" w14:paraId="5336E4C3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FA021D7" w14:textId="77777777" w:rsidR="000F4B73" w:rsidRPr="00835437" w:rsidRDefault="000F4B73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7D3F055A" w14:textId="77777777" w:rsidR="000F4B73" w:rsidRPr="0068203B" w:rsidRDefault="000F4B73" w:rsidP="000F4B73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8203B">
              <w:t>Utskrivningsklare pasienter fra sykehus.</w:t>
            </w:r>
          </w:p>
          <w:p w14:paraId="75BD3C23" w14:textId="77777777" w:rsidR="000F4B73" w:rsidRPr="0068203B" w:rsidRDefault="000F4B73" w:rsidP="000F4B73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8203B">
              <w:t>Hjemmeboende personer med forverret helsetilstand.</w:t>
            </w:r>
          </w:p>
          <w:p w14:paraId="77B90106" w14:textId="77777777" w:rsidR="000F4B73" w:rsidRPr="0068203B" w:rsidRDefault="000F4B73" w:rsidP="000F4B73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8203B">
              <w:t xml:space="preserve">Der det er nødvendig med døgnkontinuerlig observasjon, oppfølging og behandling av en kortere eller forbigående karakter. </w:t>
            </w:r>
          </w:p>
          <w:p w14:paraId="0F693C31" w14:textId="77777777" w:rsidR="000F4B73" w:rsidRPr="0068203B" w:rsidRDefault="000F4B73" w:rsidP="000F4B73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8203B">
              <w:t xml:space="preserve">Der det er behov for palliativ helse- og omsorg.   </w:t>
            </w:r>
          </w:p>
        </w:tc>
      </w:tr>
    </w:tbl>
    <w:p w14:paraId="552B45AE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7CD1"/>
    <w:multiLevelType w:val="hybridMultilevel"/>
    <w:tmpl w:val="888E5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13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73"/>
    <w:rsid w:val="000F4B73"/>
    <w:rsid w:val="004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53F8"/>
  <w15:chartTrackingRefBased/>
  <w15:docId w15:val="{CB801886-EB59-4F8B-ADF8-5BAF7DE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73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4B73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F4B73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A40C3AFF-43A8-4F5B-87F4-454A8831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98583-EA9F-4010-BD5B-D8D21BF76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3CDA-7999-46C2-AF1B-FB6B063F6523}">
  <ds:schemaRefs>
    <ds:schemaRef ds:uri="341c6c0b-cf78-46c2-9451-6cf8e0c3ff0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4cb30b31-6459-4a47-b889-a984fdc1be7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2023-11-09T11:28:00Z</dcterms:created>
  <dcterms:modified xsi:type="dcterms:W3CDTF">2023-11-09T11:28:00Z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